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E3C7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滨海新区审计局202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lang w:eastAsia="zh-CN"/>
        </w:rPr>
        <w:t>年度</w:t>
      </w:r>
    </w:p>
    <w:p w14:paraId="4E40298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行政执法情况报告</w:t>
      </w:r>
    </w:p>
    <w:p w14:paraId="601A74C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sz w:val="32"/>
          <w:szCs w:val="32"/>
          <w:lang w:eastAsia="zh-CN"/>
        </w:rPr>
      </w:pPr>
    </w:p>
    <w:p w14:paraId="36AF0D9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2025年，滨海新区审计局坚持以习近平新时代中国特色社会主义思想为指导，立足审计工作职能，依法履行审计监督职责，充分发挥审计在党和国家监督体系中的重要作用。现将有关情况报告如下：</w:t>
      </w:r>
    </w:p>
    <w:p w14:paraId="20F2A1F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黑体" w:hAnsi="黑体" w:eastAsia="黑体" w:cs="黑体"/>
          <w:kern w:val="2"/>
          <w:sz w:val="32"/>
          <w:szCs w:val="24"/>
          <w:lang w:val="en-US" w:eastAsia="zh-CN" w:bidi="ar-SA"/>
        </w:rPr>
        <w:t xml:space="preserve">  一、行政执法情况</w:t>
      </w:r>
    </w:p>
    <w:p w14:paraId="6F8F9E9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（一）基本情况</w:t>
      </w:r>
    </w:p>
    <w:p w14:paraId="082718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2025年，区审计局无行政处罚、行政强制等行政执法行为，全年聚焦财政审计、资源环境审计、民生项目和资金审计、国有企业审计、经济责任审计等7个重点方面实施审计项目42个，移送纪检监察等部门问题线索22个，审计查出不规范问题资金835.34亿元，为服务区委、区政府宏观决策提供审计专题报告35份，有效发挥护航经济发展、降低运行风险的“经济体检”作用，以有力有效的审计监督服务保障新区高质量发展大局。</w:t>
      </w:r>
    </w:p>
    <w:p w14:paraId="21D851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（二）重点执法任务完成情况</w:t>
      </w:r>
    </w:p>
    <w:p w14:paraId="248544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eastAsia="仿宋_GB2312"/>
          <w:sz w:val="32"/>
          <w:szCs w:val="32"/>
          <w:lang w:eastAsia="zh-CN"/>
        </w:rPr>
      </w:pPr>
      <w:r>
        <w:rPr>
          <w:rFonts w:hint="eastAsia" w:eastAsia="仿宋_GB2312" w:cs="Times New Roman"/>
          <w:sz w:val="32"/>
          <w:szCs w:val="32"/>
          <w:lang w:val="en-US" w:eastAsia="zh-CN"/>
        </w:rPr>
        <w:t>全面履行审计监督职责，实施财政审计</w:t>
      </w:r>
      <w:r>
        <w:rPr>
          <w:rFonts w:hint="default" w:eastAsia="仿宋_GB2312" w:cs="Times New Roman"/>
          <w:sz w:val="32"/>
          <w:szCs w:val="32"/>
          <w:lang w:val="en-US" w:eastAsia="zh-CN"/>
        </w:rPr>
        <w:t>，</w:t>
      </w:r>
      <w:r>
        <w:rPr>
          <w:rFonts w:eastAsia="仿宋_GB2312"/>
          <w:sz w:val="32"/>
          <w:szCs w:val="32"/>
        </w:rPr>
        <w:t>重点关注预算编制的真实性、完整性和合规性</w:t>
      </w:r>
      <w:r>
        <w:rPr>
          <w:rFonts w:hint="eastAsia" w:eastAsia="仿宋_GB2312"/>
          <w:sz w:val="32"/>
          <w:szCs w:val="32"/>
          <w:lang w:eastAsia="zh-CN"/>
        </w:rPr>
        <w:t>、</w:t>
      </w:r>
      <w:r>
        <w:rPr>
          <w:rFonts w:eastAsia="仿宋_GB2312"/>
          <w:sz w:val="32"/>
          <w:szCs w:val="32"/>
        </w:rPr>
        <w:t>财政资源统筹</w:t>
      </w:r>
      <w:r>
        <w:rPr>
          <w:rFonts w:hint="eastAsia" w:eastAsia="仿宋_GB2312"/>
          <w:sz w:val="32"/>
          <w:szCs w:val="32"/>
          <w:lang w:eastAsia="zh-CN"/>
        </w:rPr>
        <w:t>等情况，揭示存在的突出问题和风险隐患，从体制机制层面提出意见和建议；实施资源环境审计，</w:t>
      </w:r>
      <w:r>
        <w:rPr>
          <w:rFonts w:eastAsia="仿宋_GB2312"/>
          <w:szCs w:val="24"/>
        </w:rPr>
        <w:t>重点关注</w:t>
      </w:r>
      <w:r>
        <w:rPr>
          <w:rFonts w:eastAsia="仿宋_GB2312"/>
          <w:sz w:val="32"/>
          <w:szCs w:val="32"/>
        </w:rPr>
        <w:t>贯彻执行党中央生态文明建设方针，</w:t>
      </w:r>
      <w:r>
        <w:rPr>
          <w:rFonts w:eastAsia="仿宋_GB2312"/>
          <w:szCs w:val="24"/>
        </w:rPr>
        <w:t>领导干部履行自然资源资产管理和开发利用责任、</w:t>
      </w:r>
      <w:r>
        <w:rPr>
          <w:rFonts w:eastAsia="仿宋_GB2312"/>
          <w:sz w:val="32"/>
          <w:szCs w:val="32"/>
          <w:lang w:val="zh-CN"/>
        </w:rPr>
        <w:t>完成目标任务</w:t>
      </w:r>
      <w:r>
        <w:rPr>
          <w:rFonts w:hint="eastAsia" w:eastAsia="仿宋_GB2312"/>
          <w:sz w:val="32"/>
          <w:szCs w:val="32"/>
          <w:lang w:val="zh-CN"/>
        </w:rPr>
        <w:t>等情况，</w:t>
      </w:r>
      <w:r>
        <w:rPr>
          <w:rFonts w:hint="eastAsia" w:eastAsia="仿宋_GB2312" w:cs="仿宋_GB2312"/>
          <w:sz w:val="32"/>
          <w:szCs w:val="32"/>
        </w:rPr>
        <w:t>揭示</w:t>
      </w:r>
      <w:r>
        <w:rPr>
          <w:rFonts w:eastAsia="仿宋_GB2312"/>
          <w:sz w:val="32"/>
          <w:szCs w:val="32"/>
        </w:rPr>
        <w:t>履行职责不到位、目标任务未完成、工作机制不健全</w:t>
      </w:r>
      <w:r>
        <w:rPr>
          <w:rFonts w:hint="eastAsia" w:eastAsia="仿宋_GB2312"/>
          <w:sz w:val="32"/>
          <w:szCs w:val="32"/>
          <w:lang w:eastAsia="zh-CN"/>
        </w:rPr>
        <w:t>等</w:t>
      </w:r>
      <w:r>
        <w:rPr>
          <w:rFonts w:eastAsia="仿宋_GB2312"/>
          <w:sz w:val="32"/>
          <w:szCs w:val="32"/>
        </w:rPr>
        <w:t>突出问题。</w:t>
      </w:r>
      <w:r>
        <w:rPr>
          <w:rFonts w:hint="eastAsia" w:eastAsia="仿宋_GB2312"/>
          <w:sz w:val="32"/>
          <w:szCs w:val="32"/>
          <w:lang w:eastAsia="zh-CN"/>
        </w:rPr>
        <w:t>实施民生项目和资金审计，</w:t>
      </w:r>
      <w:r>
        <w:rPr>
          <w:rFonts w:hint="eastAsia" w:eastAsia="仿宋_GB2312"/>
          <w:sz w:val="32"/>
          <w:szCs w:val="32"/>
          <w:lang w:val="en-US" w:eastAsia="zh-CN"/>
        </w:rPr>
        <w:t>重点关注权益保障政策落实情况、保障资金使用效率等情况；实施国有企业审计，</w:t>
      </w:r>
      <w:r>
        <w:rPr>
          <w:rFonts w:hint="eastAsia" w:eastAsia="仿宋_GB2312"/>
          <w:szCs w:val="24"/>
          <w:highlight w:val="none"/>
          <w:lang w:eastAsia="zh-CN"/>
        </w:rPr>
        <w:t>重点审查</w:t>
      </w:r>
      <w:r>
        <w:rPr>
          <w:rFonts w:eastAsia="仿宋_GB2312"/>
          <w:szCs w:val="24"/>
          <w:highlight w:val="none"/>
        </w:rPr>
        <w:t>企业资产负债</w:t>
      </w:r>
      <w:r>
        <w:rPr>
          <w:rFonts w:hint="eastAsia" w:eastAsia="仿宋_GB2312"/>
          <w:szCs w:val="24"/>
          <w:highlight w:val="none"/>
          <w:lang w:eastAsia="zh-CN"/>
        </w:rPr>
        <w:t>和</w:t>
      </w:r>
      <w:r>
        <w:rPr>
          <w:rFonts w:eastAsia="仿宋_GB2312"/>
          <w:szCs w:val="24"/>
          <w:highlight w:val="none"/>
        </w:rPr>
        <w:t>损益的真实性、合</w:t>
      </w:r>
      <w:r>
        <w:rPr>
          <w:rFonts w:hint="eastAsia" w:eastAsia="仿宋_GB2312"/>
          <w:szCs w:val="24"/>
          <w:highlight w:val="none"/>
          <w:lang w:eastAsia="zh-CN"/>
        </w:rPr>
        <w:t>法</w:t>
      </w:r>
      <w:r>
        <w:rPr>
          <w:rFonts w:eastAsia="仿宋_GB2312"/>
          <w:szCs w:val="24"/>
          <w:highlight w:val="none"/>
        </w:rPr>
        <w:t>性</w:t>
      </w:r>
      <w:r>
        <w:rPr>
          <w:rFonts w:hint="eastAsia" w:eastAsia="仿宋_GB2312"/>
          <w:szCs w:val="24"/>
          <w:highlight w:val="none"/>
          <w:lang w:eastAsia="zh-CN"/>
        </w:rPr>
        <w:t>，关注企业治理结构有效性、财务管理制度合理性、</w:t>
      </w:r>
      <w:r>
        <w:rPr>
          <w:rFonts w:eastAsia="仿宋_GB2312"/>
          <w:szCs w:val="24"/>
          <w:highlight w:val="none"/>
        </w:rPr>
        <w:t>企业</w:t>
      </w:r>
      <w:r>
        <w:rPr>
          <w:rFonts w:hint="eastAsia" w:eastAsia="仿宋_GB2312"/>
          <w:szCs w:val="24"/>
          <w:highlight w:val="none"/>
          <w:lang w:eastAsia="zh-CN"/>
        </w:rPr>
        <w:t>发展质量和</w:t>
      </w:r>
      <w:r>
        <w:rPr>
          <w:rFonts w:eastAsia="仿宋_GB2312"/>
          <w:szCs w:val="24"/>
          <w:highlight w:val="none"/>
        </w:rPr>
        <w:t>资产运行质量</w:t>
      </w:r>
      <w:r>
        <w:rPr>
          <w:rFonts w:hint="eastAsia" w:eastAsia="仿宋_GB2312"/>
          <w:szCs w:val="24"/>
          <w:highlight w:val="none"/>
          <w:lang w:eastAsia="zh-CN"/>
        </w:rPr>
        <w:t>等情况。实施经济责任审计，重点关注贯彻执行党中央国务院重大决策部署和市委市政府及区委区政府工作要求，本部门、本单位重要发展规划和政策措施制定、执行和效果，重大经济事项决策、执行和效果等情况。强化审计整改，做好审计监督“下半篇文章”，紧盯问题整改不放，督促被审计单位落实整改，促进管理提升。</w:t>
      </w:r>
    </w:p>
    <w:p w14:paraId="32AF1F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（三）行政执法三项制度落实情况</w:t>
      </w:r>
    </w:p>
    <w:p w14:paraId="6DBF551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一是落实行政执法公示制度。在被审计单位张贴审计公示及审计“八不准”工作纪律等内容，在政务网站公开权责清单、执法人员信息、行政执法事前公示信息和审计业务流程，主动公开本级预算执行、决算草案和其他财政收支审计情况等信息，接受被审计单位及社会监督。二是落实执法全过程记录制度。以文字记录为基本形式全面有效开展审计监督工作，更新审计业务文书模板，严格按照审计项目计划和审计业务工作流程实施审计项目。三是落实重大执法决定法制审核制度。加强审计项目的审核，明确职责分工，强化审计文书审核复核审理工作，召开审计业务会议集体讨论决定。</w:t>
      </w:r>
    </w:p>
    <w:p w14:paraId="052E2D6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（四）行政执法队伍建设情况</w:t>
      </w:r>
    </w:p>
    <w:p w14:paraId="5C54E0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截至2025年12月末，区审计局实有行政执法人员43人。全年因调离审计执法岗位而注销执法资格2人，已完成相关执法证件的注销工作；新增行政执法人员4人，通过行政执法人员专业和公共法律知识考试，已完成执法证件申领工作。</w:t>
      </w:r>
    </w:p>
    <w:p w14:paraId="3495B14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2.紧贴审计实践，着力打造专业化审计执法干部队伍。一是强化审计干部学法。组织局党组会、党组理论学习中心组学习集中学习17次；局主要负责同志讲授法治课1次；组织支部党员大会、党小组集中学法108次；组织法治与业务培训8次，参加市审计局“审计大讲堂”业务培训3次，全员完成国家工作人员网上学法用法考试和行政执法人员培训考试，督促全体干部强化理论知识学习。二是加大力度“送学上门”。按照年度审计项目计划，全年在区发展改革委、泰达街道、生态投资开发有限公司等42个审计项目进点会及审计过程中，就《中华人民共和国审计法》《党政主要领导干部和国有企事业单位主要领导人员经济责任审计规定》等审计相关的党内法规和法律法规进行宣传。开展“滨审学堂”培训1次，印发《内部审计工作指引》2期，就中央八项规定精神、固定资产审计要点等内容进行解读，助力各单位内部审计工作开展。</w:t>
      </w:r>
    </w:p>
    <w:p w14:paraId="34895C5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二、存在问题</w:t>
      </w:r>
    </w:p>
    <w:p w14:paraId="2EF93F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2025年，我局</w:t>
      </w:r>
      <w:r>
        <w:rPr>
          <w:rFonts w:hint="eastAsia" w:eastAsia="仿宋_GB2312" w:cs="Times New Roman"/>
          <w:sz w:val="32"/>
          <w:szCs w:val="32"/>
          <w:lang w:val="en-US" w:eastAsia="zh-CN"/>
        </w:rPr>
        <w:t>稳步推进行政执法</w:t>
      </w:r>
      <w:r>
        <w:rPr>
          <w:rFonts w:hint="default" w:eastAsia="仿宋_GB2312" w:cs="Times New Roman"/>
          <w:sz w:val="32"/>
          <w:szCs w:val="32"/>
          <w:lang w:val="en-US" w:eastAsia="zh-CN"/>
        </w:rPr>
        <w:t>工作，审计质量管理制度更加健全，审计干部的法治素养得到了明显提升，依法审计能力不断增强。但也存在审计干部执法能力存在</w:t>
      </w:r>
      <w:r>
        <w:rPr>
          <w:rFonts w:hint="eastAsia" w:eastAsia="仿宋_GB2312" w:cs="Times New Roman"/>
          <w:sz w:val="32"/>
          <w:szCs w:val="32"/>
          <w:lang w:val="en-US" w:eastAsia="zh-CN"/>
        </w:rPr>
        <w:t>不足</w:t>
      </w:r>
      <w:r>
        <w:rPr>
          <w:rFonts w:hint="default" w:eastAsia="仿宋_GB2312" w:cs="Times New Roman"/>
          <w:sz w:val="32"/>
          <w:szCs w:val="32"/>
          <w:lang w:val="en-US" w:eastAsia="zh-CN"/>
        </w:rPr>
        <w:t>，审计干部法治素养需进一步提</w:t>
      </w:r>
      <w:r>
        <w:rPr>
          <w:rFonts w:hint="eastAsia" w:eastAsia="仿宋_GB2312" w:cs="Times New Roman"/>
          <w:sz w:val="32"/>
          <w:szCs w:val="32"/>
          <w:lang w:val="en-US" w:eastAsia="zh-CN"/>
        </w:rPr>
        <w:t>升</w:t>
      </w:r>
      <w:r>
        <w:rPr>
          <w:rFonts w:hint="default" w:eastAsia="仿宋_GB2312" w:cs="Times New Roman"/>
          <w:sz w:val="32"/>
          <w:szCs w:val="32"/>
          <w:lang w:val="en-US" w:eastAsia="zh-CN"/>
        </w:rPr>
        <w:t>，</w:t>
      </w:r>
      <w:r>
        <w:rPr>
          <w:rFonts w:hint="eastAsia" w:eastAsia="仿宋_GB2312" w:cs="Times New Roman"/>
          <w:sz w:val="32"/>
          <w:szCs w:val="32"/>
          <w:lang w:val="en-US" w:eastAsia="zh-CN"/>
        </w:rPr>
        <w:t>审计监督的质量和效能有待提升</w:t>
      </w:r>
      <w:r>
        <w:rPr>
          <w:rFonts w:hint="default" w:eastAsia="仿宋_GB2312" w:cs="Times New Roman"/>
          <w:sz w:val="32"/>
          <w:szCs w:val="32"/>
          <w:lang w:val="en-US" w:eastAsia="zh-CN"/>
        </w:rPr>
        <w:t>。</w:t>
      </w:r>
    </w:p>
    <w:p w14:paraId="3DC960A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三、下一步工作推进措施</w:t>
      </w:r>
    </w:p>
    <w:p w14:paraId="3C687C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jc w:val="left"/>
        <w:textAlignment w:val="auto"/>
        <w:rPr>
          <w:rFonts w:hint="default" w:eastAsia="仿宋_GB2312" w:cs="Times New Roman"/>
          <w:b w:val="0"/>
          <w:bCs w:val="0"/>
          <w:sz w:val="32"/>
          <w:szCs w:val="32"/>
          <w:lang w:val="en-US" w:eastAsia="zh-CN"/>
        </w:rPr>
      </w:pPr>
      <w:r>
        <w:rPr>
          <w:rFonts w:hint="default" w:ascii="Times New Roman" w:hAnsi="Times New Roman" w:eastAsia="仿宋_GB2312" w:cs="宋体"/>
          <w:kern w:val="2"/>
          <w:sz w:val="32"/>
          <w:szCs w:val="24"/>
          <w:lang w:val="en-US" w:eastAsia="zh-CN" w:bidi="ar-SA"/>
        </w:rPr>
        <w:t>2026年，我局将继续坚持以习近平法治思想为指导，紧紧</w:t>
      </w:r>
      <w:r>
        <w:rPr>
          <w:rFonts w:hint="default" w:ascii="Times New Roman" w:hAnsi="Times New Roman" w:eastAsia="仿宋_GB2312" w:cs="宋体"/>
          <w:b w:val="0"/>
          <w:bCs w:val="0"/>
          <w:kern w:val="2"/>
          <w:sz w:val="32"/>
          <w:szCs w:val="24"/>
          <w:lang w:val="en-US" w:eastAsia="zh-CN" w:bidi="ar-SA"/>
        </w:rPr>
        <w:t>围绕区委、区政府中心工作，</w:t>
      </w:r>
      <w:r>
        <w:rPr>
          <w:rFonts w:hint="eastAsia" w:ascii="仿宋_GB2312" w:hAnsi="仿宋_GB2312" w:eastAsia="仿宋_GB2312" w:cs="仿宋_GB2312"/>
          <w:b w:val="0"/>
          <w:bCs w:val="0"/>
          <w:spacing w:val="-6"/>
          <w:kern w:val="2"/>
          <w:sz w:val="32"/>
          <w:szCs w:val="32"/>
          <w:lang w:val="en-US" w:eastAsia="zh-CN" w:bidi="ar-SA"/>
        </w:rPr>
        <w:t>深入学习宣传贯彻习近平法治思想，依法全面履行审计监督职责。</w:t>
      </w:r>
      <w:r>
        <w:rPr>
          <w:rFonts w:hint="default" w:ascii="Times New Roman" w:hAnsi="Times New Roman" w:eastAsia="仿宋_GB2312" w:cs="宋体"/>
          <w:b w:val="0"/>
          <w:bCs w:val="0"/>
          <w:kern w:val="2"/>
          <w:sz w:val="32"/>
          <w:szCs w:val="24"/>
          <w:lang w:val="en-US" w:eastAsia="zh-CN" w:bidi="ar-SA"/>
        </w:rPr>
        <w:t>一是继续深入学习贯彻习近平法治思想。认真组织学习《习近平法治思想学习纲要（2025年版）》，依托学习强国、天津市行政执法监督平台等多元宣传阵地，多形式、分层次、多角度开展习近平法治思想学习教育培训。二是</w:t>
      </w:r>
      <w:r>
        <w:rPr>
          <w:rFonts w:hint="eastAsia" w:ascii="Times New Roman" w:hAnsi="Times New Roman" w:eastAsia="仿宋_GB2312" w:cs="宋体"/>
          <w:b w:val="0"/>
          <w:bCs w:val="0"/>
          <w:kern w:val="2"/>
          <w:sz w:val="32"/>
          <w:szCs w:val="24"/>
          <w:lang w:val="en-US" w:eastAsia="zh-CN" w:bidi="ar-SA"/>
        </w:rPr>
        <w:t>高质量开展审计监督工作。聚焦新区“十五五”规划重点任务，立足经济监督定位，紧盯重大战略实施、重大改革任务推进、重大政策措施落实，严格依照法定职责、权限、程序开展审计工作。做实审计整改“下半篇文章”，压实被审计单位整改主体责任，推动审计成果高效运用。三是</w:t>
      </w:r>
      <w:r>
        <w:rPr>
          <w:rFonts w:hint="eastAsia" w:eastAsia="仿宋_GB2312" w:cs="宋体"/>
          <w:b w:val="0"/>
          <w:bCs w:val="0"/>
          <w:kern w:val="2"/>
          <w:sz w:val="32"/>
          <w:szCs w:val="24"/>
          <w:lang w:val="en-US" w:eastAsia="zh-CN" w:bidi="ar-SA"/>
        </w:rPr>
        <w:t>依法全面履行审计监督职责。牢固树立审计质量“生命线”意识，做实审前调查研究、加强审计过程研究、注重问题整改研究的全过程研究型审计，不断提高审计质量和执法水平。</w:t>
      </w:r>
      <w:bookmarkStart w:id="0" w:name="_GoBack"/>
      <w:bookmarkEnd w:id="0"/>
    </w:p>
    <w:sectPr>
      <w:footerReference r:id="rId3" w:type="default"/>
      <w:pgSz w:w="11906" w:h="16838"/>
      <w:pgMar w:top="1984" w:right="1474" w:bottom="1928"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长城大标宋体">
    <w:altName w:val="宋体"/>
    <w:panose1 w:val="02010609010101010101"/>
    <w:charset w:val="00"/>
    <w:family w:val="auto"/>
    <w:pitch w:val="default"/>
    <w:sig w:usb0="00000000" w:usb1="00000000" w:usb2="00000000" w:usb3="00000000" w:csb0="000063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A8E6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7A514D">
                          <w:pPr>
                            <w:pStyle w:val="5"/>
                            <w:keepNext w:val="0"/>
                            <w:keepLines w:val="0"/>
                            <w:pageBreakBefore w:val="0"/>
                            <w:widowControl w:val="0"/>
                            <w:kinsoku/>
                            <w:wordWrap/>
                            <w:overflowPunct/>
                            <w:topLinePunct w:val="0"/>
                            <w:bidi w:val="0"/>
                            <w:adjustRightInd/>
                            <w:snapToGrid w:val="0"/>
                            <w:ind w:left="320" w:leftChars="100" w:right="320" w:rightChars="100"/>
                            <w:textAlignment w:val="auto"/>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007A514D">
                    <w:pPr>
                      <w:pStyle w:val="5"/>
                      <w:keepNext w:val="0"/>
                      <w:keepLines w:val="0"/>
                      <w:pageBreakBefore w:val="0"/>
                      <w:widowControl w:val="0"/>
                      <w:kinsoku/>
                      <w:wordWrap/>
                      <w:overflowPunct/>
                      <w:topLinePunct w:val="0"/>
                      <w:bidi w:val="0"/>
                      <w:adjustRightInd/>
                      <w:snapToGrid w:val="0"/>
                      <w:ind w:left="320" w:leftChars="100" w:right="320" w:rightChars="100"/>
                      <w:textAlignment w:val="auto"/>
                      <w:rPr>
                        <w:sz w:val="28"/>
                        <w:szCs w:val="44"/>
                      </w:rPr>
                    </w:pPr>
                    <w:r>
                      <w:rPr>
                        <w:sz w:val="28"/>
                        <w:szCs w:val="44"/>
                      </w:rPr>
                      <w:t xml:space="preserve">— </w:t>
                    </w:r>
                    <w:r>
                      <w:rPr>
                        <w:sz w:val="28"/>
                        <w:szCs w:val="44"/>
                      </w:rPr>
                      <w:fldChar w:fldCharType="begin"/>
                    </w:r>
                    <w:r>
                      <w:rPr>
                        <w:sz w:val="28"/>
                        <w:szCs w:val="44"/>
                      </w:rPr>
                      <w:instrText xml:space="preserve"> PAGE  \* MERGEFORMAT </w:instrText>
                    </w:r>
                    <w:r>
                      <w:rPr>
                        <w:sz w:val="28"/>
                        <w:szCs w:val="44"/>
                      </w:rPr>
                      <w:fldChar w:fldCharType="separate"/>
                    </w:r>
                    <w:r>
                      <w:rPr>
                        <w:sz w:val="28"/>
                        <w:szCs w:val="44"/>
                      </w:rPr>
                      <w:t>1</w:t>
                    </w:r>
                    <w:r>
                      <w:rPr>
                        <w:sz w:val="28"/>
                        <w:szCs w:val="44"/>
                      </w:rPr>
                      <w:fldChar w:fldCharType="end"/>
                    </w:r>
                    <w:r>
                      <w:rPr>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CF0263"/>
    <w:rsid w:val="1CF78EBE"/>
    <w:rsid w:val="1D6DCF0F"/>
    <w:rsid w:val="2F4C2450"/>
    <w:rsid w:val="2F6FD7E1"/>
    <w:rsid w:val="2F6FDDC4"/>
    <w:rsid w:val="2FED2C80"/>
    <w:rsid w:val="33B7D25F"/>
    <w:rsid w:val="35BF89D1"/>
    <w:rsid w:val="3AFA8BD7"/>
    <w:rsid w:val="3E7FDA84"/>
    <w:rsid w:val="3F7C02EA"/>
    <w:rsid w:val="3FCFAF54"/>
    <w:rsid w:val="47DFDD7F"/>
    <w:rsid w:val="4DB32385"/>
    <w:rsid w:val="57B39942"/>
    <w:rsid w:val="635725D8"/>
    <w:rsid w:val="7377B837"/>
    <w:rsid w:val="7D1EC1E8"/>
    <w:rsid w:val="7E5BFF9D"/>
    <w:rsid w:val="7F5F5BB9"/>
    <w:rsid w:val="7FAF559A"/>
    <w:rsid w:val="7FFC4816"/>
    <w:rsid w:val="9EBB8C0F"/>
    <w:rsid w:val="AEFD8693"/>
    <w:rsid w:val="BFD3A52A"/>
    <w:rsid w:val="BFEF4E42"/>
    <w:rsid w:val="CDFB9A05"/>
    <w:rsid w:val="CF9E9C2F"/>
    <w:rsid w:val="D2AF814B"/>
    <w:rsid w:val="D3FF1B38"/>
    <w:rsid w:val="D7DF2681"/>
    <w:rsid w:val="DD743B95"/>
    <w:rsid w:val="DFBF0FCD"/>
    <w:rsid w:val="DFFA64D5"/>
    <w:rsid w:val="E5BCF4BF"/>
    <w:rsid w:val="E6B5CD9C"/>
    <w:rsid w:val="F465E54E"/>
    <w:rsid w:val="F4F78545"/>
    <w:rsid w:val="F7F1C59A"/>
    <w:rsid w:val="F9B4F470"/>
    <w:rsid w:val="FBD7F902"/>
    <w:rsid w:val="FBFE6844"/>
    <w:rsid w:val="FD8F033D"/>
    <w:rsid w:val="FEDDBEC6"/>
    <w:rsid w:val="FF2D2129"/>
    <w:rsid w:val="FF7F2E01"/>
    <w:rsid w:val="FFE740C6"/>
    <w:rsid w:val="FFECBC25"/>
    <w:rsid w:val="FFEF01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ind w:firstLine="0" w:firstLineChars="0"/>
      <w:outlineLvl w:val="0"/>
    </w:pPr>
    <w:rPr>
      <w:rFonts w:ascii="Times New Roman" w:hAnsi="Times New Roman" w:eastAsia="方正小标宋简体"/>
      <w:kern w:val="44"/>
      <w:sz w:val="44"/>
    </w:rPr>
  </w:style>
  <w:style w:type="paragraph" w:styleId="3">
    <w:name w:val="heading 3"/>
    <w:basedOn w:val="1"/>
    <w:next w:val="1"/>
    <w:unhideWhenUsed/>
    <w:qFormat/>
    <w:uiPriority w:val="0"/>
    <w:pPr>
      <w:keepNext/>
      <w:keepLines/>
      <w:spacing w:beforeLines="0" w:beforeAutospacing="0" w:afterLines="0" w:afterAutospacing="0" w:line="580" w:lineRule="exact"/>
      <w:ind w:firstLine="880" w:firstLineChars="200"/>
      <w:outlineLvl w:val="2"/>
    </w:pPr>
    <w:rPr>
      <w:rFonts w:eastAsia="楷体_GB231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footnote text"/>
    <w:basedOn w:val="1"/>
    <w:next w:val="7"/>
    <w:qFormat/>
    <w:uiPriority w:val="0"/>
    <w:pPr>
      <w:snapToGrid w:val="0"/>
      <w:jc w:val="left"/>
    </w:pPr>
    <w:rPr>
      <w:rFonts w:ascii="Calibri" w:hAnsi="Calibri"/>
      <w:sz w:val="18"/>
      <w:szCs w:val="18"/>
    </w:rPr>
  </w:style>
  <w:style w:type="paragraph" w:styleId="7">
    <w:name w:val="Body Text First Indent 2"/>
    <w:basedOn w:val="4"/>
    <w:qFormat/>
    <w:uiPriority w:val="0"/>
    <w:pPr>
      <w:widowControl w:val="0"/>
      <w:ind w:left="420" w:leftChars="200" w:firstLine="420" w:firstLineChars="20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1998</Words>
  <Characters>2035</Characters>
  <Lines>0</Lines>
  <Paragraphs>0</Paragraphs>
  <TotalTime>11</TotalTime>
  <ScaleCrop>false</ScaleCrop>
  <LinksUpToDate>false</LinksUpToDate>
  <CharactersWithSpaces>2039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2025-12-30T16:21:00Z</dcterms:created>
  <dc:creator>tjaudit</dc:creator>
  <cp:lastModifiedBy>PhoenixTree</cp:lastModifiedBy>
  <dcterms:modified xsi:type="dcterms:W3CDTF">2026-01-29T01:37:43Z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F7524CA57AA5486B8E63665393153ABD_13</vt:lpwstr>
  </property>
  <property fmtid="{D5CDD505-2E9C-101B-9397-08002B2CF9AE}" pid="4" name="KSOTemplateDocerSaveRecord">
    <vt:lpwstr>eyJoZGlkIjoiYmE1MDFkNzQ5MmI2MmNmZjMwYmE5MjhkMjI1MzFhNWUiLCJ1c2VySWQiOiI2OTQ4NzA1MzQifQ==</vt:lpwstr>
  </property>
</Properties>
</file>